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15C" w:rsidRPr="00C4015C" w:rsidRDefault="00C4015C" w:rsidP="00C4015C">
      <w:pPr>
        <w:spacing w:after="0" w:line="240" w:lineRule="auto"/>
        <w:rPr>
          <w:rFonts w:ascii="Times New Roman" w:eastAsia="Times New Roman" w:hAnsi="Times New Roman" w:cs="Times New Roman"/>
          <w:sz w:val="24"/>
          <w:szCs w:val="24"/>
          <w:u w:val="single"/>
          <w:lang w:eastAsia="de-DE"/>
        </w:rPr>
      </w:pPr>
      <w:r w:rsidRPr="00C4015C">
        <w:rPr>
          <w:rFonts w:ascii="Times New Roman" w:eastAsia="Times New Roman" w:hAnsi="Times New Roman" w:cs="Times New Roman"/>
          <w:sz w:val="24"/>
          <w:szCs w:val="24"/>
          <w:u w:val="single"/>
          <w:lang w:eastAsia="de-DE"/>
        </w:rPr>
        <w:t>Wolfram Dolz</w:t>
      </w:r>
    </w:p>
    <w:p w:rsidR="00C4015C" w:rsidRDefault="00C4015C" w:rsidP="00C4015C">
      <w:pPr>
        <w:keepNext/>
        <w:spacing w:after="0" w:line="240" w:lineRule="auto"/>
        <w:outlineLvl w:val="0"/>
        <w:rPr>
          <w:rFonts w:ascii="Times New Roman" w:eastAsia="Times New Roman" w:hAnsi="Times New Roman" w:cs="Times New Roman"/>
          <w:b/>
          <w:bCs/>
          <w:sz w:val="24"/>
          <w:szCs w:val="24"/>
          <w:lang w:eastAsia="de-DE"/>
        </w:rPr>
      </w:pPr>
    </w:p>
    <w:p w:rsidR="00C4015C" w:rsidRPr="00C4015C" w:rsidRDefault="00C4015C" w:rsidP="00C4015C">
      <w:pPr>
        <w:keepNext/>
        <w:spacing w:after="0" w:line="240" w:lineRule="auto"/>
        <w:outlineLvl w:val="0"/>
        <w:rPr>
          <w:rFonts w:ascii="Times New Roman" w:eastAsia="Times New Roman" w:hAnsi="Times New Roman" w:cs="Times New Roman"/>
          <w:b/>
          <w:bCs/>
          <w:sz w:val="24"/>
          <w:szCs w:val="24"/>
          <w:lang w:eastAsia="de-DE"/>
        </w:rPr>
      </w:pPr>
      <w:proofErr w:type="spellStart"/>
      <w:r w:rsidRPr="00C4015C">
        <w:rPr>
          <w:rFonts w:ascii="Times New Roman" w:eastAsia="Times New Roman" w:hAnsi="Times New Roman" w:cs="Times New Roman"/>
          <w:b/>
          <w:bCs/>
          <w:sz w:val="24"/>
          <w:szCs w:val="24"/>
          <w:lang w:eastAsia="de-DE"/>
        </w:rPr>
        <w:t>Zweibussolenschinzeug</w:t>
      </w:r>
      <w:proofErr w:type="spellEnd"/>
    </w:p>
    <w:p w:rsidR="00C4015C" w:rsidRPr="00C4015C" w:rsidRDefault="00C4015C" w:rsidP="00C4015C">
      <w:pPr>
        <w:spacing w:after="0" w:line="240" w:lineRule="auto"/>
        <w:rPr>
          <w:rFonts w:ascii="Times New Roman" w:eastAsia="Times New Roman" w:hAnsi="Times New Roman" w:cs="Times New Roman"/>
          <w:sz w:val="24"/>
          <w:szCs w:val="24"/>
          <w:lang w:eastAsia="de-DE"/>
        </w:rPr>
      </w:pPr>
      <w:r w:rsidRPr="00C4015C">
        <w:rPr>
          <w:rFonts w:ascii="Times New Roman" w:eastAsia="Times New Roman" w:hAnsi="Times New Roman" w:cs="Times New Roman"/>
          <w:sz w:val="24"/>
          <w:szCs w:val="24"/>
          <w:lang w:eastAsia="de-DE"/>
        </w:rPr>
        <w:t>Augsburg, um 1590 [um 1587]</w:t>
      </w:r>
    </w:p>
    <w:p w:rsidR="00C4015C" w:rsidRPr="00C4015C" w:rsidRDefault="00C4015C" w:rsidP="00C4015C">
      <w:pPr>
        <w:spacing w:after="0" w:line="240" w:lineRule="auto"/>
        <w:rPr>
          <w:rFonts w:ascii="Times New Roman" w:eastAsia="Times New Roman" w:hAnsi="Times New Roman" w:cs="Times New Roman"/>
          <w:sz w:val="24"/>
          <w:szCs w:val="24"/>
          <w:lang w:eastAsia="de-DE"/>
        </w:rPr>
      </w:pPr>
      <w:r w:rsidRPr="00C4015C">
        <w:rPr>
          <w:rFonts w:ascii="Times New Roman" w:eastAsia="Times New Roman" w:hAnsi="Times New Roman" w:cs="Times New Roman"/>
          <w:sz w:val="24"/>
          <w:szCs w:val="24"/>
          <w:lang w:eastAsia="de-DE"/>
        </w:rPr>
        <w:t>Messing vergoldet</w:t>
      </w:r>
    </w:p>
    <w:p w:rsidR="00C4015C" w:rsidRPr="00C4015C" w:rsidRDefault="00C4015C" w:rsidP="00C4015C">
      <w:pPr>
        <w:spacing w:after="0" w:line="240" w:lineRule="auto"/>
        <w:rPr>
          <w:rFonts w:ascii="Times New Roman" w:eastAsia="Times New Roman" w:hAnsi="Times New Roman" w:cs="Times New Roman"/>
          <w:sz w:val="24"/>
          <w:szCs w:val="24"/>
          <w:lang w:eastAsia="de-DE"/>
        </w:rPr>
      </w:pPr>
      <w:r w:rsidRPr="00C4015C">
        <w:rPr>
          <w:rFonts w:ascii="Times New Roman" w:eastAsia="Times New Roman" w:hAnsi="Times New Roman" w:cs="Times New Roman"/>
          <w:sz w:val="24"/>
          <w:szCs w:val="24"/>
          <w:lang w:eastAsia="de-DE"/>
        </w:rPr>
        <w:t>Durchmesser: 15 cm, Höhe: 15 cm</w:t>
      </w:r>
    </w:p>
    <w:p w:rsidR="00C4015C" w:rsidRPr="00C4015C" w:rsidRDefault="00C4015C" w:rsidP="00C4015C">
      <w:pPr>
        <w:spacing w:after="0" w:line="240" w:lineRule="auto"/>
        <w:rPr>
          <w:rFonts w:ascii="Times New Roman" w:eastAsia="Times New Roman" w:hAnsi="Times New Roman" w:cs="Times New Roman"/>
          <w:sz w:val="24"/>
          <w:szCs w:val="24"/>
          <w:lang w:eastAsia="de-DE"/>
        </w:rPr>
      </w:pPr>
      <w:r w:rsidRPr="00C4015C">
        <w:rPr>
          <w:rFonts w:ascii="Times New Roman" w:eastAsia="Times New Roman" w:hAnsi="Times New Roman" w:cs="Times New Roman"/>
          <w:sz w:val="24"/>
          <w:szCs w:val="24"/>
          <w:lang w:eastAsia="de-DE"/>
        </w:rPr>
        <w:t>Mathematisch-Physikalischer Salon, Staatliche Kunstsammlungen Dresden</w:t>
      </w:r>
    </w:p>
    <w:p w:rsidR="00C4015C" w:rsidRPr="00C4015C" w:rsidRDefault="00C4015C" w:rsidP="00C4015C">
      <w:pPr>
        <w:spacing w:after="0" w:line="240" w:lineRule="auto"/>
        <w:rPr>
          <w:rFonts w:ascii="Times New Roman" w:eastAsia="Times New Roman" w:hAnsi="Times New Roman" w:cs="Times New Roman"/>
          <w:sz w:val="24"/>
          <w:szCs w:val="24"/>
          <w:lang w:eastAsia="de-DE"/>
        </w:rPr>
      </w:pPr>
      <w:r w:rsidRPr="00C4015C">
        <w:rPr>
          <w:rFonts w:ascii="Times New Roman" w:eastAsia="Times New Roman" w:hAnsi="Times New Roman" w:cs="Times New Roman"/>
          <w:sz w:val="24"/>
          <w:szCs w:val="24"/>
          <w:lang w:eastAsia="de-DE"/>
        </w:rPr>
        <w:t>Kunstkammerbesitz, Inventar 1587, S. 90r und 1595, S. 109r</w:t>
      </w:r>
    </w:p>
    <w:p w:rsidR="00C4015C" w:rsidRPr="00C4015C" w:rsidRDefault="00C4015C" w:rsidP="00C4015C">
      <w:pPr>
        <w:spacing w:after="0" w:line="240" w:lineRule="auto"/>
        <w:rPr>
          <w:rFonts w:ascii="Times New Roman" w:eastAsia="Times New Roman" w:hAnsi="Times New Roman" w:cs="Times New Roman"/>
          <w:sz w:val="24"/>
          <w:szCs w:val="24"/>
          <w:lang w:val="en-US" w:eastAsia="de-DE"/>
        </w:rPr>
      </w:pPr>
      <w:r w:rsidRPr="00C4015C">
        <w:rPr>
          <w:rFonts w:ascii="Times New Roman" w:eastAsia="Times New Roman" w:hAnsi="Times New Roman" w:cs="Times New Roman"/>
          <w:sz w:val="24"/>
          <w:szCs w:val="24"/>
          <w:lang w:val="en-US" w:eastAsia="de-DE"/>
        </w:rPr>
        <w:t>Inv.-</w:t>
      </w:r>
      <w:proofErr w:type="spellStart"/>
      <w:r w:rsidRPr="00C4015C">
        <w:rPr>
          <w:rFonts w:ascii="Times New Roman" w:eastAsia="Times New Roman" w:hAnsi="Times New Roman" w:cs="Times New Roman"/>
          <w:sz w:val="24"/>
          <w:szCs w:val="24"/>
          <w:lang w:val="en-US" w:eastAsia="de-DE"/>
        </w:rPr>
        <w:t>Nr</w:t>
      </w:r>
      <w:proofErr w:type="spellEnd"/>
      <w:r w:rsidRPr="00C4015C">
        <w:rPr>
          <w:rFonts w:ascii="Times New Roman" w:eastAsia="Times New Roman" w:hAnsi="Times New Roman" w:cs="Times New Roman"/>
          <w:sz w:val="24"/>
          <w:szCs w:val="24"/>
          <w:lang w:val="en-US" w:eastAsia="de-DE"/>
        </w:rPr>
        <w:t>. C III c 6a</w:t>
      </w:r>
    </w:p>
    <w:p w:rsidR="00C4015C" w:rsidRPr="00C4015C" w:rsidRDefault="00C4015C" w:rsidP="00C4015C">
      <w:pPr>
        <w:spacing w:after="0" w:line="240" w:lineRule="auto"/>
        <w:rPr>
          <w:rFonts w:ascii="Times New Roman" w:eastAsia="Times New Roman" w:hAnsi="Times New Roman" w:cs="Times New Roman"/>
          <w:sz w:val="24"/>
          <w:szCs w:val="24"/>
          <w:lang w:val="en-US" w:eastAsia="de-DE"/>
        </w:rPr>
      </w:pPr>
    </w:p>
    <w:p w:rsidR="00C4015C" w:rsidRPr="00C4015C" w:rsidRDefault="00C4015C" w:rsidP="00C4015C">
      <w:pPr>
        <w:spacing w:after="0" w:line="240" w:lineRule="auto"/>
        <w:rPr>
          <w:rFonts w:ascii="Times New Roman" w:eastAsia="Times New Roman" w:hAnsi="Times New Roman" w:cs="Times New Roman"/>
          <w:sz w:val="24"/>
          <w:szCs w:val="24"/>
          <w:lang w:eastAsia="de-DE"/>
        </w:rPr>
      </w:pPr>
      <w:r w:rsidRPr="00C4015C">
        <w:rPr>
          <w:rFonts w:ascii="Times New Roman" w:eastAsia="Times New Roman" w:hAnsi="Times New Roman" w:cs="Times New Roman"/>
          <w:sz w:val="24"/>
          <w:szCs w:val="24"/>
          <w:lang w:eastAsia="de-DE"/>
        </w:rPr>
        <w:t xml:space="preserve">Reiche Silbervorkommen im sächsischen Erzgebirge schufen die Basis für den Reichtum und die Macht des Kurfürstentums Sachsen. Um den Schatz zu heben, bedurfte es einer hochstehenden Bergbau- und Vermessungstechnik. Die Vermesser Untertage werden als Markscheider oder in früherer Zeit auch als </w:t>
      </w:r>
      <w:proofErr w:type="spellStart"/>
      <w:r w:rsidRPr="00C4015C">
        <w:rPr>
          <w:rFonts w:ascii="Times New Roman" w:eastAsia="Times New Roman" w:hAnsi="Times New Roman" w:cs="Times New Roman"/>
          <w:sz w:val="24"/>
          <w:szCs w:val="24"/>
          <w:lang w:eastAsia="de-DE"/>
        </w:rPr>
        <w:t>Schiner</w:t>
      </w:r>
      <w:proofErr w:type="spellEnd"/>
      <w:r w:rsidRPr="00C4015C">
        <w:rPr>
          <w:rFonts w:ascii="Times New Roman" w:eastAsia="Times New Roman" w:hAnsi="Times New Roman" w:cs="Times New Roman"/>
          <w:sz w:val="24"/>
          <w:szCs w:val="24"/>
          <w:lang w:eastAsia="de-DE"/>
        </w:rPr>
        <w:t xml:space="preserve"> bezeichnet. Zur ältesten Messmethode gehörte die Ziehmarkscheidekunst. Dabei wurden Schnüre zwischen den Festpunkten in der Grube gespannt. Ein wichtiges Messgerät, um den Verlauf der Stollen zu bestimmen, war u. a. das nach dem </w:t>
      </w:r>
      <w:proofErr w:type="spellStart"/>
      <w:r w:rsidRPr="00C4015C">
        <w:rPr>
          <w:rFonts w:ascii="Times New Roman" w:eastAsia="Times New Roman" w:hAnsi="Times New Roman" w:cs="Times New Roman"/>
          <w:sz w:val="24"/>
          <w:szCs w:val="24"/>
          <w:lang w:eastAsia="de-DE"/>
        </w:rPr>
        <w:t>Schiner</w:t>
      </w:r>
      <w:proofErr w:type="spellEnd"/>
      <w:r w:rsidRPr="00C4015C">
        <w:rPr>
          <w:rFonts w:ascii="Times New Roman" w:eastAsia="Times New Roman" w:hAnsi="Times New Roman" w:cs="Times New Roman"/>
          <w:sz w:val="24"/>
          <w:szCs w:val="24"/>
          <w:lang w:eastAsia="de-DE"/>
        </w:rPr>
        <w:t xml:space="preserve"> so benannte </w:t>
      </w:r>
      <w:proofErr w:type="spellStart"/>
      <w:r w:rsidRPr="00C4015C">
        <w:rPr>
          <w:rFonts w:ascii="Times New Roman" w:eastAsia="Times New Roman" w:hAnsi="Times New Roman" w:cs="Times New Roman"/>
          <w:sz w:val="24"/>
          <w:szCs w:val="24"/>
          <w:lang w:eastAsia="de-DE"/>
        </w:rPr>
        <w:t>Schinzeug</w:t>
      </w:r>
      <w:proofErr w:type="spellEnd"/>
      <w:r w:rsidRPr="00C4015C">
        <w:rPr>
          <w:rFonts w:ascii="Times New Roman" w:eastAsia="Times New Roman" w:hAnsi="Times New Roman" w:cs="Times New Roman"/>
          <w:sz w:val="24"/>
          <w:szCs w:val="24"/>
          <w:lang w:eastAsia="de-DE"/>
        </w:rPr>
        <w:t xml:space="preserve">. Mit diesem Gerät konnte gleichzeitig der Höhen- und der Lagewinkel bestimmt werden. Zu diesem Zweck hat das Gerät einen Horizontal- und Vertikalkreis an dem ein beweglicher Zeiger mit Haken angebracht ist. In den Haken wurde die Schur </w:t>
      </w:r>
      <w:proofErr w:type="spellStart"/>
      <w:r w:rsidRPr="00C4015C">
        <w:rPr>
          <w:rFonts w:ascii="Times New Roman" w:eastAsia="Times New Roman" w:hAnsi="Times New Roman" w:cs="Times New Roman"/>
          <w:sz w:val="24"/>
          <w:szCs w:val="24"/>
          <w:lang w:eastAsia="de-DE"/>
        </w:rPr>
        <w:t>eingehangen</w:t>
      </w:r>
      <w:proofErr w:type="spellEnd"/>
      <w:r w:rsidRPr="00C4015C">
        <w:rPr>
          <w:rFonts w:ascii="Times New Roman" w:eastAsia="Times New Roman" w:hAnsi="Times New Roman" w:cs="Times New Roman"/>
          <w:sz w:val="24"/>
          <w:szCs w:val="24"/>
          <w:lang w:eastAsia="de-DE"/>
        </w:rPr>
        <w:t xml:space="preserve"> und je nach Verlauf der Schnur konnte der Winkel am Zeiger auf dem Vertikal- und Horizontalkreis abgelesen werden. Beim vorliegenden Gerät wurden die Teilkreise nicht in </w:t>
      </w:r>
      <w:proofErr w:type="gramStart"/>
      <w:r w:rsidRPr="00C4015C">
        <w:rPr>
          <w:rFonts w:ascii="Times New Roman" w:eastAsia="Times New Roman" w:hAnsi="Times New Roman" w:cs="Times New Roman"/>
          <w:sz w:val="24"/>
          <w:szCs w:val="24"/>
          <w:lang w:eastAsia="de-DE"/>
        </w:rPr>
        <w:t>Grad</w:t>
      </w:r>
      <w:proofErr w:type="gramEnd"/>
      <w:r w:rsidRPr="00C4015C">
        <w:rPr>
          <w:rFonts w:ascii="Times New Roman" w:eastAsia="Times New Roman" w:hAnsi="Times New Roman" w:cs="Times New Roman"/>
          <w:sz w:val="24"/>
          <w:szCs w:val="24"/>
          <w:lang w:eastAsia="de-DE"/>
        </w:rPr>
        <w:t xml:space="preserve"> sondern in Stunden unterteilt. Die Haupthimmelsrichtungen wurden mit „Morgen“ (Osten), „Mittag“ (Süden), „</w:t>
      </w:r>
      <w:proofErr w:type="spellStart"/>
      <w:r w:rsidRPr="00C4015C">
        <w:rPr>
          <w:rFonts w:ascii="Times New Roman" w:eastAsia="Times New Roman" w:hAnsi="Times New Roman" w:cs="Times New Roman"/>
          <w:sz w:val="24"/>
          <w:szCs w:val="24"/>
          <w:lang w:eastAsia="de-DE"/>
        </w:rPr>
        <w:t>Abent</w:t>
      </w:r>
      <w:proofErr w:type="spellEnd"/>
      <w:r w:rsidRPr="00C4015C">
        <w:rPr>
          <w:rFonts w:ascii="Times New Roman" w:eastAsia="Times New Roman" w:hAnsi="Times New Roman" w:cs="Times New Roman"/>
          <w:sz w:val="24"/>
          <w:szCs w:val="24"/>
          <w:lang w:eastAsia="de-DE"/>
        </w:rPr>
        <w:t xml:space="preserve"> (Westen) und „Mitternacht“ (Norden) bezeichnet. Zur Orientierung des Gerätes dienten die beiden Bussolen bzw. Kompasse.</w:t>
      </w:r>
    </w:p>
    <w:p w:rsidR="00C4015C" w:rsidRPr="00C4015C" w:rsidRDefault="00C4015C" w:rsidP="00C4015C">
      <w:pPr>
        <w:spacing w:after="0" w:line="240" w:lineRule="auto"/>
        <w:rPr>
          <w:rFonts w:ascii="Times New Roman" w:eastAsia="Times New Roman" w:hAnsi="Times New Roman" w:cs="Times New Roman"/>
          <w:sz w:val="24"/>
          <w:szCs w:val="24"/>
          <w:lang w:eastAsia="de-DE"/>
        </w:rPr>
      </w:pPr>
    </w:p>
    <w:p w:rsidR="00C4015C" w:rsidRPr="00C4015C" w:rsidRDefault="00C4015C" w:rsidP="00C4015C">
      <w:pPr>
        <w:spacing w:after="0" w:line="240" w:lineRule="auto"/>
        <w:rPr>
          <w:rFonts w:ascii="Times New Roman" w:eastAsia="Times New Roman" w:hAnsi="Times New Roman" w:cs="Times New Roman"/>
          <w:sz w:val="24"/>
          <w:szCs w:val="24"/>
          <w:lang w:eastAsia="de-DE"/>
        </w:rPr>
      </w:pPr>
      <w:r w:rsidRPr="00C4015C">
        <w:rPr>
          <w:rFonts w:ascii="Times New Roman" w:eastAsia="Times New Roman" w:hAnsi="Times New Roman" w:cs="Times New Roman"/>
          <w:sz w:val="24"/>
          <w:szCs w:val="24"/>
          <w:lang w:eastAsia="de-DE"/>
        </w:rPr>
        <w:t xml:space="preserve">Dolz, 1993, S.33; </w:t>
      </w:r>
      <w:proofErr w:type="spellStart"/>
      <w:r w:rsidRPr="00C4015C">
        <w:rPr>
          <w:rFonts w:ascii="Times New Roman" w:eastAsia="Times New Roman" w:hAnsi="Times New Roman" w:cs="Times New Roman"/>
          <w:sz w:val="24"/>
          <w:szCs w:val="24"/>
          <w:lang w:eastAsia="de-DE"/>
        </w:rPr>
        <w:t>Kirnbauer</w:t>
      </w:r>
      <w:proofErr w:type="spellEnd"/>
      <w:r w:rsidRPr="00C4015C">
        <w:rPr>
          <w:rFonts w:ascii="Times New Roman" w:eastAsia="Times New Roman" w:hAnsi="Times New Roman" w:cs="Times New Roman"/>
          <w:sz w:val="24"/>
          <w:szCs w:val="24"/>
          <w:lang w:eastAsia="de-DE"/>
        </w:rPr>
        <w:t>, 1940, S. 41-42</w:t>
      </w:r>
      <w:r>
        <w:rPr>
          <w:rFonts w:ascii="Times New Roman" w:eastAsia="Times New Roman" w:hAnsi="Times New Roman" w:cs="Times New Roman"/>
          <w:sz w:val="24"/>
          <w:szCs w:val="24"/>
          <w:lang w:eastAsia="de-DE"/>
        </w:rPr>
        <w:t xml:space="preserve">, </w:t>
      </w:r>
      <w:r w:rsidRPr="00C4015C">
        <w:rPr>
          <w:rFonts w:ascii="Times New Roman" w:eastAsia="Times New Roman" w:hAnsi="Times New Roman" w:cs="Times New Roman"/>
          <w:sz w:val="24"/>
          <w:szCs w:val="24"/>
          <w:lang w:eastAsia="de-DE"/>
        </w:rPr>
        <w:t>[KNK-Ausstellung]</w:t>
      </w:r>
    </w:p>
    <w:p w:rsidR="00C4015C" w:rsidRPr="00C4015C" w:rsidRDefault="00C4015C" w:rsidP="00C4015C">
      <w:pPr>
        <w:spacing w:after="0" w:line="240" w:lineRule="auto"/>
        <w:rPr>
          <w:rFonts w:ascii="Times New Roman" w:eastAsia="Times New Roman" w:hAnsi="Times New Roman" w:cs="Times New Roman"/>
          <w:sz w:val="24"/>
          <w:szCs w:val="24"/>
          <w:lang w:eastAsia="de-DE"/>
        </w:rPr>
      </w:pPr>
    </w:p>
    <w:p w:rsidR="00C4015C" w:rsidRPr="00C4015C" w:rsidRDefault="00C4015C" w:rsidP="00C4015C">
      <w:pPr>
        <w:spacing w:after="0" w:line="240" w:lineRule="auto"/>
        <w:rPr>
          <w:rFonts w:ascii="Times New Roman" w:eastAsia="Times New Roman" w:hAnsi="Times New Roman" w:cs="Times New Roman"/>
          <w:sz w:val="24"/>
          <w:szCs w:val="24"/>
          <w:lang w:eastAsia="de-DE"/>
        </w:rPr>
      </w:pPr>
      <w:r w:rsidRPr="00C4015C">
        <w:rPr>
          <w:rFonts w:ascii="Times New Roman" w:eastAsia="Times New Roman" w:hAnsi="Times New Roman" w:cs="Times New Roman"/>
          <w:sz w:val="24"/>
          <w:szCs w:val="24"/>
          <w:lang w:eastAsia="de-DE"/>
        </w:rPr>
        <w:t>Reg. Nr. 495</w:t>
      </w:r>
    </w:p>
    <w:p w:rsidR="007666A8" w:rsidRDefault="007666A8">
      <w:bookmarkStart w:id="0" w:name="_GoBack"/>
      <w:bookmarkEnd w:id="0"/>
    </w:p>
    <w:sectPr w:rsidR="007666A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5C"/>
    <w:rsid w:val="007666A8"/>
    <w:rsid w:val="00C401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A695"/>
  <w15:chartTrackingRefBased/>
  <w15:docId w15:val="{E8844B47-2CCE-410E-8B7F-7867EF773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1346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Staatliche Kunstsammlungen Dresden</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Dolz, Wolfram -SKD</dc:creator>
  <cp:keywords/>
  <dc:description/>
  <cp:lastModifiedBy>Dolz, Wolfram -SKD</cp:lastModifiedBy>
  <cp:revision>1</cp:revision>
  <dcterms:created xsi:type="dcterms:W3CDTF">2024-10-23T14:23:00Z</dcterms:created>
  <dcterms:modified xsi:type="dcterms:W3CDTF">2024-10-23T14:24:00Z</dcterms:modified>
</cp:coreProperties>
</file>